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E7F6B" w14:textId="77777777" w:rsidR="004676BB" w:rsidRDefault="00000000">
      <w:pPr>
        <w:spacing w:after="80"/>
      </w:pPr>
      <w:r>
        <w:rPr>
          <w:b/>
          <w:bCs/>
          <w:color w:val="0F2A44"/>
          <w:sz w:val="40"/>
          <w:szCs w:val="40"/>
        </w:rPr>
        <w:t>FocalVA Service Level Agreement (SLA)</w:t>
      </w:r>
    </w:p>
    <w:p w14:paraId="788B02C9" w14:textId="77777777" w:rsidR="004676BB" w:rsidRDefault="00000000">
      <w:pPr>
        <w:spacing w:after="300"/>
      </w:pPr>
      <w:r>
        <w:rPr>
          <w:i/>
          <w:iCs/>
          <w:color w:val="555555"/>
          <w:sz w:val="20"/>
          <w:szCs w:val="20"/>
        </w:rPr>
        <w:t>Effective Date: August 3, 2026  •  Version 1.0</w:t>
      </w:r>
    </w:p>
    <w:p w14:paraId="07F6CDD6" w14:textId="77777777" w:rsidR="004676BB" w:rsidRDefault="00000000">
      <w:pPr>
        <w:pStyle w:val="Heading1"/>
      </w:pPr>
      <w:r>
        <w:t>1. Purpose and Scope</w:t>
      </w:r>
    </w:p>
    <w:p w14:paraId="2243451D" w14:textId="77777777" w:rsidR="004676BB" w:rsidRDefault="00000000">
      <w:pPr>
        <w:spacing w:after="160"/>
      </w:pPr>
      <w:r>
        <w:t>This Service Level Agreement (“SLA”) describes the levels of service Quadjam Enterprises Inc., the operator of FocalVA (“FocalVA,” “we,” or “us”), commits to provide to customers (“Customer” or “you”) using the FocalVA platform (the “Service”), including uptime commitments, support response times, and remedies for failure to meet those commitments.</w:t>
      </w:r>
    </w:p>
    <w:p w14:paraId="09BF301F" w14:textId="77777777" w:rsidR="004676BB" w:rsidRDefault="00000000">
      <w:pPr>
        <w:spacing w:after="160"/>
      </w:pPr>
      <w:r>
        <w:t>This SLA applies to the production FocalVA web application and its core modules (client management, project and task management, time tracking, contracts, invoicing, payroll, and client portal). It supplements, and is incorporated into, the FocalVA Terms of Service / Master Subscription Agreement. In the event of a conflict, this SLA governs solely with respect to uptime, support response times, and service credits.</w:t>
      </w:r>
    </w:p>
    <w:p w14:paraId="06A5CCCA" w14:textId="77777777" w:rsidR="004676BB" w:rsidRDefault="00000000">
      <w:pPr>
        <w:spacing w:after="160"/>
      </w:pPr>
      <w:r>
        <w:rPr>
          <w:b/>
          <w:bCs/>
        </w:rPr>
        <w:t>This SLA is offered as a contractual guarantee for Enterprise (Business+) plan subscribers. For Basic and Premium plans, the uptime and response figures below are provided as service targets rather than penalty-backed guarantees, unless otherwise agreed in a signed order form.</w:t>
      </w:r>
    </w:p>
    <w:p w14:paraId="21AE055A" w14:textId="77777777" w:rsidR="004676BB" w:rsidRDefault="00000000">
      <w:pPr>
        <w:pStyle w:val="Heading1"/>
      </w:pPr>
      <w:r>
        <w:t>2. Definitions</w:t>
      </w:r>
    </w:p>
    <w:p w14:paraId="2C10085E" w14:textId="77777777" w:rsidR="004676BB" w:rsidRDefault="00000000">
      <w:pPr>
        <w:pStyle w:val="ListParagraph"/>
        <w:numPr>
          <w:ilvl w:val="0"/>
          <w:numId w:val="2"/>
        </w:numPr>
        <w:spacing w:after="80"/>
      </w:pPr>
      <w:r>
        <w:t>“Downtime” means any period during which the Service is unavailable to Customer for reasons other than an Exclusion (Section 6), as measured by FocalVA's monitoring systems.</w:t>
      </w:r>
    </w:p>
    <w:p w14:paraId="7E1DBA3D" w14:textId="77777777" w:rsidR="004676BB" w:rsidRDefault="00000000">
      <w:pPr>
        <w:pStyle w:val="ListParagraph"/>
        <w:numPr>
          <w:ilvl w:val="0"/>
          <w:numId w:val="2"/>
        </w:numPr>
        <w:spacing w:after="80"/>
      </w:pPr>
      <w:r>
        <w:t>“Monthly Uptime Percentage” means the total number of minutes in a calendar month, minus the number of minutes of Downtime in that month, divided by the total number of minutes in that month.</w:t>
      </w:r>
    </w:p>
    <w:p w14:paraId="557EA9EC" w14:textId="77777777" w:rsidR="004676BB" w:rsidRDefault="00000000">
      <w:pPr>
        <w:pStyle w:val="ListParagraph"/>
        <w:numPr>
          <w:ilvl w:val="0"/>
          <w:numId w:val="2"/>
        </w:numPr>
        <w:spacing w:after="80"/>
      </w:pPr>
      <w:r>
        <w:t>“Service Credit” means a percentage credit, calculated as described in Section 5, applied to a future invoice.</w:t>
      </w:r>
    </w:p>
    <w:p w14:paraId="7749B4FF" w14:textId="77777777" w:rsidR="004676BB" w:rsidRDefault="00000000">
      <w:pPr>
        <w:pStyle w:val="ListParagraph"/>
        <w:numPr>
          <w:ilvl w:val="0"/>
          <w:numId w:val="2"/>
        </w:numPr>
        <w:spacing w:after="80"/>
      </w:pPr>
      <w:r>
        <w:t>“Business Hours” means 8:30 AM – 5:30 PM Pacific Time, Monday through Friday, excluding US federal holidays, unless a plan specifies 24/7 coverage.</w:t>
      </w:r>
    </w:p>
    <w:p w14:paraId="61B19AEA" w14:textId="77777777" w:rsidR="004676BB" w:rsidRDefault="00000000">
      <w:pPr>
        <w:pStyle w:val="ListParagraph"/>
        <w:numPr>
          <w:ilvl w:val="0"/>
          <w:numId w:val="2"/>
        </w:numPr>
        <w:spacing w:after="80"/>
      </w:pPr>
      <w:r>
        <w:t>“Incident” means an unplanned event that causes Downtime or material degradation of the Service.</w:t>
      </w:r>
    </w:p>
    <w:p w14:paraId="7590DBA5" w14:textId="77777777" w:rsidR="004676BB" w:rsidRDefault="00000000">
      <w:pPr>
        <w:pStyle w:val="Heading1"/>
      </w:pPr>
      <w:r>
        <w:t>3. Uptime Commitment</w:t>
      </w:r>
    </w:p>
    <w:p w14:paraId="51474493" w14:textId="77777777" w:rsidR="004676BB" w:rsidRDefault="00000000">
      <w:pPr>
        <w:spacing w:after="160"/>
      </w:pPr>
      <w:r>
        <w:t>FocalVA will use commercially reasonable efforts to make the Service available with the Monthly Uptime Percentage set out below, measured on a calendar-month basis.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4676BB" w14:paraId="4B5A37CD" w14:textId="77777777">
        <w:tc>
          <w:tcPr>
            <w:tcW w:w="3120" w:type="dxa"/>
            <w:tcBorders>
              <w:top w:val="single" w:sz="1" w:space="0" w:color="CCCCCC"/>
              <w:left w:val="single" w:sz="1" w:space="0" w:color="CCCCCC"/>
              <w:bottom w:val="single" w:sz="1" w:space="0" w:color="CCCCCC"/>
              <w:right w:val="single" w:sz="1" w:space="0" w:color="CCCCCC"/>
            </w:tcBorders>
            <w:shd w:val="clear" w:color="auto" w:fill="0F2A44"/>
            <w:tcMar>
              <w:top w:w="100" w:type="dxa"/>
              <w:left w:w="120" w:type="dxa"/>
              <w:bottom w:w="100" w:type="dxa"/>
              <w:right w:w="120" w:type="dxa"/>
            </w:tcMar>
            <w:vAlign w:val="center"/>
          </w:tcPr>
          <w:p w14:paraId="361E8A27" w14:textId="77777777" w:rsidR="004676BB" w:rsidRDefault="00000000">
            <w:r>
              <w:rPr>
                <w:b/>
                <w:bCs/>
                <w:color w:val="FFFFFF"/>
                <w:sz w:val="20"/>
                <w:szCs w:val="20"/>
              </w:rPr>
              <w:t>Plan</w:t>
            </w:r>
          </w:p>
        </w:tc>
        <w:tc>
          <w:tcPr>
            <w:tcW w:w="3120" w:type="dxa"/>
            <w:tcBorders>
              <w:top w:val="single" w:sz="1" w:space="0" w:color="CCCCCC"/>
              <w:left w:val="single" w:sz="1" w:space="0" w:color="CCCCCC"/>
              <w:bottom w:val="single" w:sz="1" w:space="0" w:color="CCCCCC"/>
              <w:right w:val="single" w:sz="1" w:space="0" w:color="CCCCCC"/>
            </w:tcBorders>
            <w:shd w:val="clear" w:color="auto" w:fill="0F2A44"/>
            <w:tcMar>
              <w:top w:w="100" w:type="dxa"/>
              <w:left w:w="120" w:type="dxa"/>
              <w:bottom w:w="100" w:type="dxa"/>
              <w:right w:w="120" w:type="dxa"/>
            </w:tcMar>
            <w:vAlign w:val="center"/>
          </w:tcPr>
          <w:p w14:paraId="4CA6D056" w14:textId="77777777" w:rsidR="004676BB" w:rsidRDefault="00000000">
            <w:r>
              <w:rPr>
                <w:b/>
                <w:bCs/>
                <w:color w:val="FFFFFF"/>
                <w:sz w:val="20"/>
                <w:szCs w:val="20"/>
              </w:rPr>
              <w:t>Monthly Uptime Commitment</w:t>
            </w:r>
          </w:p>
        </w:tc>
        <w:tc>
          <w:tcPr>
            <w:tcW w:w="3120" w:type="dxa"/>
            <w:tcBorders>
              <w:top w:val="single" w:sz="1" w:space="0" w:color="CCCCCC"/>
              <w:left w:val="single" w:sz="1" w:space="0" w:color="CCCCCC"/>
              <w:bottom w:val="single" w:sz="1" w:space="0" w:color="CCCCCC"/>
              <w:right w:val="single" w:sz="1" w:space="0" w:color="CCCCCC"/>
            </w:tcBorders>
            <w:shd w:val="clear" w:color="auto" w:fill="0F2A44"/>
            <w:tcMar>
              <w:top w:w="100" w:type="dxa"/>
              <w:left w:w="120" w:type="dxa"/>
              <w:bottom w:w="100" w:type="dxa"/>
              <w:right w:w="120" w:type="dxa"/>
            </w:tcMar>
            <w:vAlign w:val="center"/>
          </w:tcPr>
          <w:p w14:paraId="369348BC" w14:textId="77777777" w:rsidR="004676BB" w:rsidRDefault="00000000">
            <w:r>
              <w:rPr>
                <w:b/>
                <w:bCs/>
                <w:color w:val="FFFFFF"/>
                <w:sz w:val="20"/>
                <w:szCs w:val="20"/>
              </w:rPr>
              <w:t>Max Allowed Downtime / mo</w:t>
            </w:r>
          </w:p>
        </w:tc>
      </w:tr>
      <w:tr w:rsidR="004676BB" w14:paraId="627094DF"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5F1B95B4" w14:textId="77777777" w:rsidR="004676BB" w:rsidRDefault="00000000">
            <w:r>
              <w:rPr>
                <w:sz w:val="20"/>
                <w:szCs w:val="20"/>
              </w:rPr>
              <w:t>Basic (Solo)</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404AF940" w14:textId="77777777" w:rsidR="004676BB" w:rsidRDefault="00000000">
            <w:r>
              <w:rPr>
                <w:sz w:val="20"/>
                <w:szCs w:val="20"/>
              </w:rPr>
              <w:t>99.5% (target)</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1748E472" w14:textId="77777777" w:rsidR="004676BB" w:rsidRDefault="00000000">
            <w:r>
              <w:rPr>
                <w:sz w:val="20"/>
                <w:szCs w:val="20"/>
              </w:rPr>
              <w:t>~3h 39m</w:t>
            </w:r>
          </w:p>
        </w:tc>
      </w:tr>
      <w:tr w:rsidR="004676BB" w14:paraId="76AA1C5A" w14:textId="77777777">
        <w:tc>
          <w:tcPr>
            <w:tcW w:w="3120" w:type="dxa"/>
            <w:tcBorders>
              <w:top w:val="single" w:sz="1" w:space="0" w:color="CCCCCC"/>
              <w:left w:val="single" w:sz="1" w:space="0" w:color="CCCCCC"/>
              <w:bottom w:val="single" w:sz="1" w:space="0" w:color="CCCCCC"/>
              <w:right w:val="single" w:sz="1" w:space="0" w:color="CCCCCC"/>
            </w:tcBorders>
            <w:shd w:val="clear" w:color="auto" w:fill="EAF3F3"/>
            <w:tcMar>
              <w:top w:w="90" w:type="dxa"/>
              <w:left w:w="120" w:type="dxa"/>
              <w:bottom w:w="90" w:type="dxa"/>
              <w:right w:w="120" w:type="dxa"/>
            </w:tcMar>
            <w:vAlign w:val="center"/>
          </w:tcPr>
          <w:p w14:paraId="140C1657" w14:textId="77777777" w:rsidR="004676BB" w:rsidRDefault="00000000">
            <w:r>
              <w:rPr>
                <w:sz w:val="20"/>
                <w:szCs w:val="20"/>
              </w:rPr>
              <w:t>Premium (Team)</w:t>
            </w:r>
          </w:p>
        </w:tc>
        <w:tc>
          <w:tcPr>
            <w:tcW w:w="3120" w:type="dxa"/>
            <w:tcBorders>
              <w:top w:val="single" w:sz="1" w:space="0" w:color="CCCCCC"/>
              <w:left w:val="single" w:sz="1" w:space="0" w:color="CCCCCC"/>
              <w:bottom w:val="single" w:sz="1" w:space="0" w:color="CCCCCC"/>
              <w:right w:val="single" w:sz="1" w:space="0" w:color="CCCCCC"/>
            </w:tcBorders>
            <w:shd w:val="clear" w:color="auto" w:fill="EAF3F3"/>
            <w:tcMar>
              <w:top w:w="90" w:type="dxa"/>
              <w:left w:w="120" w:type="dxa"/>
              <w:bottom w:w="90" w:type="dxa"/>
              <w:right w:w="120" w:type="dxa"/>
            </w:tcMar>
            <w:vAlign w:val="center"/>
          </w:tcPr>
          <w:p w14:paraId="2EC1CD97" w14:textId="02A93C4E" w:rsidR="004676BB" w:rsidRDefault="00000000">
            <w:r>
              <w:rPr>
                <w:sz w:val="20"/>
                <w:szCs w:val="20"/>
              </w:rPr>
              <w:t>99.</w:t>
            </w:r>
            <w:r w:rsidR="00B82B46">
              <w:rPr>
                <w:sz w:val="20"/>
                <w:szCs w:val="20"/>
              </w:rPr>
              <w:t>0</w:t>
            </w:r>
            <w:r>
              <w:rPr>
                <w:sz w:val="20"/>
                <w:szCs w:val="20"/>
              </w:rPr>
              <w:t>% (target)</w:t>
            </w:r>
          </w:p>
        </w:tc>
        <w:tc>
          <w:tcPr>
            <w:tcW w:w="3120" w:type="dxa"/>
            <w:tcBorders>
              <w:top w:val="single" w:sz="1" w:space="0" w:color="CCCCCC"/>
              <w:left w:val="single" w:sz="1" w:space="0" w:color="CCCCCC"/>
              <w:bottom w:val="single" w:sz="1" w:space="0" w:color="CCCCCC"/>
              <w:right w:val="single" w:sz="1" w:space="0" w:color="CCCCCC"/>
            </w:tcBorders>
            <w:shd w:val="clear" w:color="auto" w:fill="EAF3F3"/>
            <w:tcMar>
              <w:top w:w="90" w:type="dxa"/>
              <w:left w:w="120" w:type="dxa"/>
              <w:bottom w:w="90" w:type="dxa"/>
              <w:right w:w="120" w:type="dxa"/>
            </w:tcMar>
            <w:vAlign w:val="center"/>
          </w:tcPr>
          <w:p w14:paraId="5BF8E65B" w14:textId="181D84CB" w:rsidR="004676BB" w:rsidRDefault="00000000">
            <w:r>
              <w:rPr>
                <w:sz w:val="20"/>
                <w:szCs w:val="20"/>
              </w:rPr>
              <w:t>~</w:t>
            </w:r>
            <w:r w:rsidR="00BC77C6">
              <w:rPr>
                <w:sz w:val="20"/>
                <w:szCs w:val="20"/>
              </w:rPr>
              <w:t xml:space="preserve">1hr </w:t>
            </w:r>
            <w:r>
              <w:rPr>
                <w:sz w:val="20"/>
                <w:szCs w:val="20"/>
              </w:rPr>
              <w:t>43m</w:t>
            </w:r>
          </w:p>
        </w:tc>
      </w:tr>
      <w:tr w:rsidR="004676BB" w14:paraId="41F70D35"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770EAD17" w14:textId="11CD18D7" w:rsidR="004676BB" w:rsidRDefault="00000000">
            <w:r>
              <w:rPr>
                <w:sz w:val="20"/>
                <w:szCs w:val="20"/>
              </w:rPr>
              <w:lastRenderedPageBreak/>
              <w:t>Enterprise (</w:t>
            </w:r>
            <w:r w:rsidR="00D15774">
              <w:rPr>
                <w:sz w:val="20"/>
                <w:szCs w:val="20"/>
              </w:rPr>
              <w:t xml:space="preserve">Agency </w:t>
            </w:r>
            <w:r>
              <w:rPr>
                <w:sz w:val="20"/>
                <w:szCs w:val="20"/>
              </w:rPr>
              <w:t>+)</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09134A10" w14:textId="71CBA029" w:rsidR="004676BB" w:rsidRDefault="00000000">
            <w:r>
              <w:rPr>
                <w:b/>
                <w:bCs/>
                <w:sz w:val="20"/>
                <w:szCs w:val="20"/>
              </w:rPr>
              <w:t>99.</w:t>
            </w:r>
            <w:r w:rsidR="00D15774">
              <w:rPr>
                <w:b/>
                <w:bCs/>
                <w:sz w:val="20"/>
                <w:szCs w:val="20"/>
              </w:rPr>
              <w:t>0</w:t>
            </w:r>
            <w:r>
              <w:rPr>
                <w:b/>
                <w:bCs/>
                <w:sz w:val="20"/>
                <w:szCs w:val="20"/>
              </w:rPr>
              <w:t>% (contractual guarantee)</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440D0148" w14:textId="77777777" w:rsidR="004676BB" w:rsidRDefault="00000000">
            <w:r>
              <w:rPr>
                <w:sz w:val="20"/>
                <w:szCs w:val="20"/>
              </w:rPr>
              <w:t>~43m</w:t>
            </w:r>
          </w:p>
        </w:tc>
      </w:tr>
    </w:tbl>
    <w:p w14:paraId="3DC2933B" w14:textId="77777777" w:rsidR="004676BB" w:rsidRDefault="004676BB">
      <w:pPr>
        <w:spacing w:before="200"/>
      </w:pPr>
    </w:p>
    <w:p w14:paraId="6C970444" w14:textId="77777777" w:rsidR="004676BB" w:rsidRDefault="00000000">
      <w:pPr>
        <w:spacing w:after="160"/>
      </w:pPr>
      <w:r>
        <w:t>Measurement Methodology: Monthly Uptime Percentage is calculated from FocalVA's third-party uptime monitoring service, which performs automated health checks against the production application endpoint at 1-minute intervals. A check is considered failed if the endpoint does not return a successful (2xx) response within 10 seconds, or if core functionality (login, dashboard load) is unavailable. Uptime reports are available to Enterprise customers upon request and are reconciled monthly.</w:t>
      </w:r>
    </w:p>
    <w:p w14:paraId="788B89A1" w14:textId="77777777" w:rsidR="004676BB" w:rsidRDefault="00000000">
      <w:pPr>
        <w:pStyle w:val="Heading1"/>
      </w:pPr>
      <w:r>
        <w:t>4. Support Response Times</w:t>
      </w:r>
    </w:p>
    <w:p w14:paraId="1C2BD91B" w14:textId="77777777" w:rsidR="004676BB" w:rsidRDefault="00000000">
      <w:pPr>
        <w:spacing w:after="160"/>
      </w:pPr>
      <w:r>
        <w:t>FocalVA provides tiered support based on your subscription plan. Response time is measured from the moment a support ticket is submitted through the designated support channel (email, chat, or phone) to the moment a FocalVA support representative provides a substantive first response.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2340"/>
        <w:gridCol w:w="2340"/>
        <w:gridCol w:w="2340"/>
      </w:tblGrid>
      <w:tr w:rsidR="004676BB" w14:paraId="418084F5" w14:textId="77777777">
        <w:tc>
          <w:tcPr>
            <w:tcW w:w="2340" w:type="dxa"/>
            <w:tcBorders>
              <w:top w:val="single" w:sz="1" w:space="0" w:color="CCCCCC"/>
              <w:left w:val="single" w:sz="1" w:space="0" w:color="CCCCCC"/>
              <w:bottom w:val="single" w:sz="1" w:space="0" w:color="CCCCCC"/>
              <w:right w:val="single" w:sz="1" w:space="0" w:color="CCCCCC"/>
            </w:tcBorders>
            <w:shd w:val="clear" w:color="auto" w:fill="0F2A44"/>
            <w:tcMar>
              <w:top w:w="100" w:type="dxa"/>
              <w:left w:w="120" w:type="dxa"/>
              <w:bottom w:w="100" w:type="dxa"/>
              <w:right w:w="120" w:type="dxa"/>
            </w:tcMar>
            <w:vAlign w:val="center"/>
          </w:tcPr>
          <w:p w14:paraId="59349EC6" w14:textId="77777777" w:rsidR="004676BB" w:rsidRDefault="00000000">
            <w:r>
              <w:rPr>
                <w:b/>
                <w:bCs/>
                <w:color w:val="FFFFFF"/>
                <w:sz w:val="20"/>
                <w:szCs w:val="20"/>
              </w:rPr>
              <w:t>Severity</w:t>
            </w:r>
          </w:p>
        </w:tc>
        <w:tc>
          <w:tcPr>
            <w:tcW w:w="2340" w:type="dxa"/>
            <w:tcBorders>
              <w:top w:val="single" w:sz="1" w:space="0" w:color="CCCCCC"/>
              <w:left w:val="single" w:sz="1" w:space="0" w:color="CCCCCC"/>
              <w:bottom w:val="single" w:sz="1" w:space="0" w:color="CCCCCC"/>
              <w:right w:val="single" w:sz="1" w:space="0" w:color="CCCCCC"/>
            </w:tcBorders>
            <w:shd w:val="clear" w:color="auto" w:fill="0F2A44"/>
            <w:tcMar>
              <w:top w:w="100" w:type="dxa"/>
              <w:left w:w="120" w:type="dxa"/>
              <w:bottom w:w="100" w:type="dxa"/>
              <w:right w:w="120" w:type="dxa"/>
            </w:tcMar>
            <w:vAlign w:val="center"/>
          </w:tcPr>
          <w:p w14:paraId="52BBF416" w14:textId="77777777" w:rsidR="004676BB" w:rsidRDefault="00000000">
            <w:r>
              <w:rPr>
                <w:b/>
                <w:bCs/>
                <w:color w:val="FFFFFF"/>
                <w:sz w:val="20"/>
                <w:szCs w:val="20"/>
              </w:rPr>
              <w:t>Basic</w:t>
            </w:r>
          </w:p>
        </w:tc>
        <w:tc>
          <w:tcPr>
            <w:tcW w:w="2340" w:type="dxa"/>
            <w:tcBorders>
              <w:top w:val="single" w:sz="1" w:space="0" w:color="CCCCCC"/>
              <w:left w:val="single" w:sz="1" w:space="0" w:color="CCCCCC"/>
              <w:bottom w:val="single" w:sz="1" w:space="0" w:color="CCCCCC"/>
              <w:right w:val="single" w:sz="1" w:space="0" w:color="CCCCCC"/>
            </w:tcBorders>
            <w:shd w:val="clear" w:color="auto" w:fill="0F2A44"/>
            <w:tcMar>
              <w:top w:w="100" w:type="dxa"/>
              <w:left w:w="120" w:type="dxa"/>
              <w:bottom w:w="100" w:type="dxa"/>
              <w:right w:w="120" w:type="dxa"/>
            </w:tcMar>
            <w:vAlign w:val="center"/>
          </w:tcPr>
          <w:p w14:paraId="0F8FC7E3" w14:textId="77777777" w:rsidR="004676BB" w:rsidRDefault="00000000">
            <w:r>
              <w:rPr>
                <w:b/>
                <w:bCs/>
                <w:color w:val="FFFFFF"/>
                <w:sz w:val="20"/>
                <w:szCs w:val="20"/>
              </w:rPr>
              <w:t>Premium</w:t>
            </w:r>
          </w:p>
        </w:tc>
        <w:tc>
          <w:tcPr>
            <w:tcW w:w="2340" w:type="dxa"/>
            <w:tcBorders>
              <w:top w:val="single" w:sz="1" w:space="0" w:color="CCCCCC"/>
              <w:left w:val="single" w:sz="1" w:space="0" w:color="CCCCCC"/>
              <w:bottom w:val="single" w:sz="1" w:space="0" w:color="CCCCCC"/>
              <w:right w:val="single" w:sz="1" w:space="0" w:color="CCCCCC"/>
            </w:tcBorders>
            <w:shd w:val="clear" w:color="auto" w:fill="0F2A44"/>
            <w:tcMar>
              <w:top w:w="100" w:type="dxa"/>
              <w:left w:w="120" w:type="dxa"/>
              <w:bottom w:w="100" w:type="dxa"/>
              <w:right w:w="120" w:type="dxa"/>
            </w:tcMar>
            <w:vAlign w:val="center"/>
          </w:tcPr>
          <w:p w14:paraId="19F4056A" w14:textId="77777777" w:rsidR="004676BB" w:rsidRDefault="00000000">
            <w:r>
              <w:rPr>
                <w:b/>
                <w:bCs/>
                <w:color w:val="FFFFFF"/>
                <w:sz w:val="20"/>
                <w:szCs w:val="20"/>
              </w:rPr>
              <w:t>Enterprise</w:t>
            </w:r>
          </w:p>
        </w:tc>
      </w:tr>
      <w:tr w:rsidR="004676BB" w14:paraId="563350C4" w14:textId="77777777">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7A796F7C" w14:textId="77777777" w:rsidR="004676BB" w:rsidRDefault="00000000">
            <w:r>
              <w:rPr>
                <w:b/>
                <w:bCs/>
                <w:sz w:val="20"/>
                <w:szCs w:val="20"/>
              </w:rPr>
              <w:t>Critical (service down)</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1FB6E900" w14:textId="77777777" w:rsidR="004676BB" w:rsidRDefault="00000000">
            <w:r>
              <w:rPr>
                <w:sz w:val="20"/>
                <w:szCs w:val="20"/>
              </w:rPr>
              <w:t>Next business day</w:t>
            </w:r>
          </w:p>
        </w:tc>
        <w:tc>
          <w:tcPr>
            <w:tcW w:w="2340" w:type="dxa"/>
            <w:tcBorders>
              <w:top w:val="single" w:sz="1" w:space="0" w:color="CCCCCC"/>
              <w:left w:val="single" w:sz="1" w:space="0" w:color="CCCCCC"/>
              <w:bottom w:val="single" w:sz="1" w:space="0" w:color="CCCCCC"/>
              <w:right w:val="single" w:sz="1" w:space="0" w:color="CCCCCC"/>
            </w:tcBorders>
            <w:shd w:val="clear" w:color="auto" w:fill="EAF3F3"/>
            <w:tcMar>
              <w:top w:w="90" w:type="dxa"/>
              <w:left w:w="120" w:type="dxa"/>
              <w:bottom w:w="90" w:type="dxa"/>
              <w:right w:w="120" w:type="dxa"/>
            </w:tcMar>
            <w:vAlign w:val="center"/>
          </w:tcPr>
          <w:p w14:paraId="47156FB4" w14:textId="77777777" w:rsidR="004676BB" w:rsidRDefault="00000000">
            <w:r>
              <w:rPr>
                <w:sz w:val="20"/>
                <w:szCs w:val="20"/>
              </w:rPr>
              <w:t>4 business hours</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1C6B29E7" w14:textId="77777777" w:rsidR="004676BB" w:rsidRDefault="00000000">
            <w:r>
              <w:rPr>
                <w:sz w:val="20"/>
                <w:szCs w:val="20"/>
              </w:rPr>
              <w:t>1 hour, 24/7</w:t>
            </w:r>
          </w:p>
        </w:tc>
      </w:tr>
      <w:tr w:rsidR="004676BB" w14:paraId="70F99293" w14:textId="77777777">
        <w:tc>
          <w:tcPr>
            <w:tcW w:w="2340" w:type="dxa"/>
            <w:tcBorders>
              <w:top w:val="single" w:sz="1" w:space="0" w:color="CCCCCC"/>
              <w:left w:val="single" w:sz="1" w:space="0" w:color="CCCCCC"/>
              <w:bottom w:val="single" w:sz="1" w:space="0" w:color="CCCCCC"/>
              <w:right w:val="single" w:sz="1" w:space="0" w:color="CCCCCC"/>
            </w:tcBorders>
            <w:shd w:val="clear" w:color="auto" w:fill="EAF3F3"/>
            <w:tcMar>
              <w:top w:w="90" w:type="dxa"/>
              <w:left w:w="120" w:type="dxa"/>
              <w:bottom w:w="90" w:type="dxa"/>
              <w:right w:w="120" w:type="dxa"/>
            </w:tcMar>
            <w:vAlign w:val="center"/>
          </w:tcPr>
          <w:p w14:paraId="09AE64D8" w14:textId="77777777" w:rsidR="004676BB" w:rsidRDefault="00000000">
            <w:r>
              <w:rPr>
                <w:b/>
                <w:bCs/>
                <w:sz w:val="20"/>
                <w:szCs w:val="20"/>
              </w:rPr>
              <w:t>High (major feature impaired)</w:t>
            </w:r>
          </w:p>
        </w:tc>
        <w:tc>
          <w:tcPr>
            <w:tcW w:w="2340" w:type="dxa"/>
            <w:tcBorders>
              <w:top w:val="single" w:sz="1" w:space="0" w:color="CCCCCC"/>
              <w:left w:val="single" w:sz="1" w:space="0" w:color="CCCCCC"/>
              <w:bottom w:val="single" w:sz="1" w:space="0" w:color="CCCCCC"/>
              <w:right w:val="single" w:sz="1" w:space="0" w:color="CCCCCC"/>
            </w:tcBorders>
            <w:shd w:val="clear" w:color="auto" w:fill="EAF3F3"/>
            <w:tcMar>
              <w:top w:w="90" w:type="dxa"/>
              <w:left w:w="120" w:type="dxa"/>
              <w:bottom w:w="90" w:type="dxa"/>
              <w:right w:w="120" w:type="dxa"/>
            </w:tcMar>
            <w:vAlign w:val="center"/>
          </w:tcPr>
          <w:p w14:paraId="025F6CB1" w14:textId="77777777" w:rsidR="004676BB" w:rsidRDefault="00000000">
            <w:r>
              <w:rPr>
                <w:sz w:val="20"/>
                <w:szCs w:val="20"/>
              </w:rPr>
              <w:t>2 business days</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21D97AF3" w14:textId="77777777" w:rsidR="004676BB" w:rsidRDefault="00000000">
            <w:r>
              <w:rPr>
                <w:sz w:val="20"/>
                <w:szCs w:val="20"/>
              </w:rPr>
              <w:t>8 business hours</w:t>
            </w:r>
          </w:p>
        </w:tc>
        <w:tc>
          <w:tcPr>
            <w:tcW w:w="2340" w:type="dxa"/>
            <w:tcBorders>
              <w:top w:val="single" w:sz="1" w:space="0" w:color="CCCCCC"/>
              <w:left w:val="single" w:sz="1" w:space="0" w:color="CCCCCC"/>
              <w:bottom w:val="single" w:sz="1" w:space="0" w:color="CCCCCC"/>
              <w:right w:val="single" w:sz="1" w:space="0" w:color="CCCCCC"/>
            </w:tcBorders>
            <w:shd w:val="clear" w:color="auto" w:fill="EAF3F3"/>
            <w:tcMar>
              <w:top w:w="90" w:type="dxa"/>
              <w:left w:w="120" w:type="dxa"/>
              <w:bottom w:w="90" w:type="dxa"/>
              <w:right w:w="120" w:type="dxa"/>
            </w:tcMar>
            <w:vAlign w:val="center"/>
          </w:tcPr>
          <w:p w14:paraId="2F4E7C0C" w14:textId="77777777" w:rsidR="004676BB" w:rsidRDefault="00000000">
            <w:r>
              <w:rPr>
                <w:sz w:val="20"/>
                <w:szCs w:val="20"/>
              </w:rPr>
              <w:t>4 hours, 24/7</w:t>
            </w:r>
          </w:p>
        </w:tc>
      </w:tr>
      <w:tr w:rsidR="004676BB" w14:paraId="0C7B17C8" w14:textId="77777777">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317916C7" w14:textId="77777777" w:rsidR="004676BB" w:rsidRDefault="00000000">
            <w:r>
              <w:rPr>
                <w:b/>
                <w:bCs/>
                <w:sz w:val="20"/>
                <w:szCs w:val="20"/>
              </w:rPr>
              <w:t>Normal (minor issue)</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0D6B900F" w14:textId="77777777" w:rsidR="004676BB" w:rsidRDefault="00000000">
            <w:r>
              <w:rPr>
                <w:sz w:val="20"/>
                <w:szCs w:val="20"/>
              </w:rPr>
              <w:t>3 business days</w:t>
            </w:r>
          </w:p>
        </w:tc>
        <w:tc>
          <w:tcPr>
            <w:tcW w:w="2340" w:type="dxa"/>
            <w:tcBorders>
              <w:top w:val="single" w:sz="1" w:space="0" w:color="CCCCCC"/>
              <w:left w:val="single" w:sz="1" w:space="0" w:color="CCCCCC"/>
              <w:bottom w:val="single" w:sz="1" w:space="0" w:color="CCCCCC"/>
              <w:right w:val="single" w:sz="1" w:space="0" w:color="CCCCCC"/>
            </w:tcBorders>
            <w:shd w:val="clear" w:color="auto" w:fill="EAF3F3"/>
            <w:tcMar>
              <w:top w:w="90" w:type="dxa"/>
              <w:left w:w="120" w:type="dxa"/>
              <w:bottom w:w="90" w:type="dxa"/>
              <w:right w:w="120" w:type="dxa"/>
            </w:tcMar>
            <w:vAlign w:val="center"/>
          </w:tcPr>
          <w:p w14:paraId="72825907" w14:textId="77777777" w:rsidR="004676BB" w:rsidRDefault="00000000">
            <w:r>
              <w:rPr>
                <w:sz w:val="20"/>
                <w:szCs w:val="20"/>
              </w:rPr>
              <w:t>1 business day</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0D9E499F" w14:textId="77777777" w:rsidR="004676BB" w:rsidRDefault="00000000">
            <w:r>
              <w:rPr>
                <w:sz w:val="20"/>
                <w:szCs w:val="20"/>
              </w:rPr>
              <w:t>1 business day</w:t>
            </w:r>
          </w:p>
        </w:tc>
      </w:tr>
      <w:tr w:rsidR="004676BB" w14:paraId="243D5512" w14:textId="77777777">
        <w:tc>
          <w:tcPr>
            <w:tcW w:w="2340" w:type="dxa"/>
            <w:tcBorders>
              <w:top w:val="single" w:sz="1" w:space="0" w:color="CCCCCC"/>
              <w:left w:val="single" w:sz="1" w:space="0" w:color="CCCCCC"/>
              <w:bottom w:val="single" w:sz="1" w:space="0" w:color="CCCCCC"/>
              <w:right w:val="single" w:sz="1" w:space="0" w:color="CCCCCC"/>
            </w:tcBorders>
            <w:shd w:val="clear" w:color="auto" w:fill="EAF3F3"/>
            <w:tcMar>
              <w:top w:w="90" w:type="dxa"/>
              <w:left w:w="120" w:type="dxa"/>
              <w:bottom w:w="90" w:type="dxa"/>
              <w:right w:w="120" w:type="dxa"/>
            </w:tcMar>
            <w:vAlign w:val="center"/>
          </w:tcPr>
          <w:p w14:paraId="694BFDEA" w14:textId="77777777" w:rsidR="004676BB" w:rsidRDefault="00000000">
            <w:r>
              <w:rPr>
                <w:b/>
                <w:bCs/>
                <w:sz w:val="20"/>
                <w:szCs w:val="20"/>
              </w:rPr>
              <w:t>Low (question / request)</w:t>
            </w:r>
          </w:p>
        </w:tc>
        <w:tc>
          <w:tcPr>
            <w:tcW w:w="2340" w:type="dxa"/>
            <w:tcBorders>
              <w:top w:val="single" w:sz="1" w:space="0" w:color="CCCCCC"/>
              <w:left w:val="single" w:sz="1" w:space="0" w:color="CCCCCC"/>
              <w:bottom w:val="single" w:sz="1" w:space="0" w:color="CCCCCC"/>
              <w:right w:val="single" w:sz="1" w:space="0" w:color="CCCCCC"/>
            </w:tcBorders>
            <w:shd w:val="clear" w:color="auto" w:fill="EAF3F3"/>
            <w:tcMar>
              <w:top w:w="90" w:type="dxa"/>
              <w:left w:w="120" w:type="dxa"/>
              <w:bottom w:w="90" w:type="dxa"/>
              <w:right w:w="120" w:type="dxa"/>
            </w:tcMar>
            <w:vAlign w:val="center"/>
          </w:tcPr>
          <w:p w14:paraId="2358E4EF" w14:textId="77777777" w:rsidR="004676BB" w:rsidRDefault="00000000">
            <w:r>
              <w:rPr>
                <w:sz w:val="20"/>
                <w:szCs w:val="20"/>
              </w:rPr>
              <w:t>5 business days</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24536005" w14:textId="77777777" w:rsidR="004676BB" w:rsidRDefault="00000000">
            <w:r>
              <w:rPr>
                <w:sz w:val="20"/>
                <w:szCs w:val="20"/>
              </w:rPr>
              <w:t>2 business days</w:t>
            </w:r>
          </w:p>
        </w:tc>
        <w:tc>
          <w:tcPr>
            <w:tcW w:w="2340" w:type="dxa"/>
            <w:tcBorders>
              <w:top w:val="single" w:sz="1" w:space="0" w:color="CCCCCC"/>
              <w:left w:val="single" w:sz="1" w:space="0" w:color="CCCCCC"/>
              <w:bottom w:val="single" w:sz="1" w:space="0" w:color="CCCCCC"/>
              <w:right w:val="single" w:sz="1" w:space="0" w:color="CCCCCC"/>
            </w:tcBorders>
            <w:shd w:val="clear" w:color="auto" w:fill="EAF3F3"/>
            <w:tcMar>
              <w:top w:w="90" w:type="dxa"/>
              <w:left w:w="120" w:type="dxa"/>
              <w:bottom w:w="90" w:type="dxa"/>
              <w:right w:w="120" w:type="dxa"/>
            </w:tcMar>
            <w:vAlign w:val="center"/>
          </w:tcPr>
          <w:p w14:paraId="2D976653" w14:textId="77777777" w:rsidR="004676BB" w:rsidRDefault="00000000">
            <w:r>
              <w:rPr>
                <w:sz w:val="20"/>
                <w:szCs w:val="20"/>
              </w:rPr>
              <w:t>2 business days</w:t>
            </w:r>
          </w:p>
        </w:tc>
      </w:tr>
    </w:tbl>
    <w:p w14:paraId="5FF561FD" w14:textId="77777777" w:rsidR="004676BB" w:rsidRDefault="00000000">
      <w:pPr>
        <w:pStyle w:val="Heading1"/>
      </w:pPr>
      <w:r>
        <w:t>5. Service Credits (Enterprise Plan Only)</w:t>
      </w:r>
    </w:p>
    <w:p w14:paraId="63BD0791" w14:textId="7D9E6356" w:rsidR="004676BB" w:rsidRDefault="00000000">
      <w:pPr>
        <w:spacing w:after="160"/>
      </w:pPr>
      <w:r>
        <w:t>If FocalVA fails to meet the 99.</w:t>
      </w:r>
      <w:r w:rsidR="00930B6A">
        <w:t>0</w:t>
      </w:r>
      <w:r>
        <w:t>% Monthly Uptime Percentage commitment for the Enterprise plan in any calendar month, Customer is eligible to receive a Service Credit calculated as follows: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4676BB" w14:paraId="3BD4C1CD" w14:textId="77777777">
        <w:tc>
          <w:tcPr>
            <w:tcW w:w="4680" w:type="dxa"/>
            <w:tcBorders>
              <w:top w:val="single" w:sz="1" w:space="0" w:color="CCCCCC"/>
              <w:left w:val="single" w:sz="1" w:space="0" w:color="CCCCCC"/>
              <w:bottom w:val="single" w:sz="1" w:space="0" w:color="CCCCCC"/>
              <w:right w:val="single" w:sz="1" w:space="0" w:color="CCCCCC"/>
            </w:tcBorders>
            <w:shd w:val="clear" w:color="auto" w:fill="0F2A44"/>
            <w:tcMar>
              <w:top w:w="100" w:type="dxa"/>
              <w:left w:w="120" w:type="dxa"/>
              <w:bottom w:w="100" w:type="dxa"/>
              <w:right w:w="120" w:type="dxa"/>
            </w:tcMar>
            <w:vAlign w:val="center"/>
          </w:tcPr>
          <w:p w14:paraId="65D82BA7" w14:textId="77777777" w:rsidR="004676BB" w:rsidRDefault="00000000">
            <w:r>
              <w:rPr>
                <w:b/>
                <w:bCs/>
                <w:color w:val="FFFFFF"/>
                <w:sz w:val="20"/>
                <w:szCs w:val="20"/>
              </w:rPr>
              <w:t>Monthly Uptime Percentage</w:t>
            </w:r>
          </w:p>
        </w:tc>
        <w:tc>
          <w:tcPr>
            <w:tcW w:w="4680" w:type="dxa"/>
            <w:tcBorders>
              <w:top w:val="single" w:sz="1" w:space="0" w:color="CCCCCC"/>
              <w:left w:val="single" w:sz="1" w:space="0" w:color="CCCCCC"/>
              <w:bottom w:val="single" w:sz="1" w:space="0" w:color="CCCCCC"/>
              <w:right w:val="single" w:sz="1" w:space="0" w:color="CCCCCC"/>
            </w:tcBorders>
            <w:shd w:val="clear" w:color="auto" w:fill="0F2A44"/>
            <w:tcMar>
              <w:top w:w="100" w:type="dxa"/>
              <w:left w:w="120" w:type="dxa"/>
              <w:bottom w:w="100" w:type="dxa"/>
              <w:right w:w="120" w:type="dxa"/>
            </w:tcMar>
            <w:vAlign w:val="center"/>
          </w:tcPr>
          <w:p w14:paraId="310F87AD" w14:textId="77777777" w:rsidR="004676BB" w:rsidRDefault="00000000">
            <w:r>
              <w:rPr>
                <w:b/>
                <w:bCs/>
                <w:color w:val="FFFFFF"/>
                <w:sz w:val="20"/>
                <w:szCs w:val="20"/>
              </w:rPr>
              <w:t>Service Credit (% of monthly fees)</w:t>
            </w:r>
          </w:p>
        </w:tc>
      </w:tr>
      <w:tr w:rsidR="004676BB" w14:paraId="1E046921" w14:textId="77777777">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6C1BBA06" w14:textId="2B025B81" w:rsidR="004676BB" w:rsidRDefault="00930B6A">
            <w:r>
              <w:rPr>
                <w:sz w:val="20"/>
                <w:szCs w:val="20"/>
              </w:rPr>
              <w:t>8</w:t>
            </w:r>
            <w:r w:rsidR="00C35118">
              <w:rPr>
                <w:sz w:val="20"/>
                <w:szCs w:val="20"/>
              </w:rPr>
              <w:t>5</w:t>
            </w:r>
            <w:r>
              <w:rPr>
                <w:sz w:val="20"/>
                <w:szCs w:val="20"/>
              </w:rPr>
              <w:t>.0% – 89.99%</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7EBC6F3D" w14:textId="77777777" w:rsidR="004676BB" w:rsidRDefault="00000000">
            <w:r>
              <w:rPr>
                <w:sz w:val="20"/>
                <w:szCs w:val="20"/>
              </w:rPr>
              <w:t>10%</w:t>
            </w:r>
          </w:p>
        </w:tc>
      </w:tr>
      <w:tr w:rsidR="004676BB" w14:paraId="22CE1BC9" w14:textId="77777777">
        <w:tc>
          <w:tcPr>
            <w:tcW w:w="4680" w:type="dxa"/>
            <w:tcBorders>
              <w:top w:val="single" w:sz="1" w:space="0" w:color="CCCCCC"/>
              <w:left w:val="single" w:sz="1" w:space="0" w:color="CCCCCC"/>
              <w:bottom w:val="single" w:sz="1" w:space="0" w:color="CCCCCC"/>
              <w:right w:val="single" w:sz="1" w:space="0" w:color="CCCCCC"/>
            </w:tcBorders>
            <w:shd w:val="clear" w:color="auto" w:fill="EAF3F3"/>
            <w:tcMar>
              <w:top w:w="90" w:type="dxa"/>
              <w:left w:w="120" w:type="dxa"/>
              <w:bottom w:w="90" w:type="dxa"/>
              <w:right w:w="120" w:type="dxa"/>
            </w:tcMar>
            <w:vAlign w:val="center"/>
          </w:tcPr>
          <w:p w14:paraId="2A41D51B" w14:textId="212687BB" w:rsidR="004676BB" w:rsidRDefault="00930B6A">
            <w:r>
              <w:rPr>
                <w:sz w:val="20"/>
                <w:szCs w:val="20"/>
              </w:rPr>
              <w:t>7</w:t>
            </w:r>
            <w:r w:rsidR="00C35118">
              <w:rPr>
                <w:sz w:val="20"/>
                <w:szCs w:val="20"/>
              </w:rPr>
              <w:t>5</w:t>
            </w:r>
            <w:r>
              <w:rPr>
                <w:sz w:val="20"/>
                <w:szCs w:val="20"/>
              </w:rPr>
              <w:t xml:space="preserve">.0% – </w:t>
            </w:r>
            <w:r w:rsidR="00C35118">
              <w:rPr>
                <w:sz w:val="20"/>
                <w:szCs w:val="20"/>
              </w:rPr>
              <w:t>84</w:t>
            </w:r>
            <w:r>
              <w:rPr>
                <w:sz w:val="20"/>
                <w:szCs w:val="20"/>
              </w:rPr>
              <w:t>.99%</w:t>
            </w:r>
          </w:p>
        </w:tc>
        <w:tc>
          <w:tcPr>
            <w:tcW w:w="4680" w:type="dxa"/>
            <w:tcBorders>
              <w:top w:val="single" w:sz="1" w:space="0" w:color="CCCCCC"/>
              <w:left w:val="single" w:sz="1" w:space="0" w:color="CCCCCC"/>
              <w:bottom w:val="single" w:sz="1" w:space="0" w:color="CCCCCC"/>
              <w:right w:val="single" w:sz="1" w:space="0" w:color="CCCCCC"/>
            </w:tcBorders>
            <w:shd w:val="clear" w:color="auto" w:fill="EAF3F3"/>
            <w:tcMar>
              <w:top w:w="90" w:type="dxa"/>
              <w:left w:w="120" w:type="dxa"/>
              <w:bottom w:w="90" w:type="dxa"/>
              <w:right w:w="120" w:type="dxa"/>
            </w:tcMar>
            <w:vAlign w:val="center"/>
          </w:tcPr>
          <w:p w14:paraId="3A99368A" w14:textId="77777777" w:rsidR="004676BB" w:rsidRDefault="00000000">
            <w:r>
              <w:rPr>
                <w:sz w:val="20"/>
                <w:szCs w:val="20"/>
              </w:rPr>
              <w:t>25%</w:t>
            </w:r>
          </w:p>
        </w:tc>
      </w:tr>
      <w:tr w:rsidR="004676BB" w14:paraId="498EE5E3" w14:textId="77777777">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580CA4B7" w14:textId="3F0BE0A9" w:rsidR="004676BB" w:rsidRDefault="00000000">
            <w:r>
              <w:rPr>
                <w:sz w:val="20"/>
                <w:szCs w:val="20"/>
              </w:rPr>
              <w:t xml:space="preserve">Below </w:t>
            </w:r>
            <w:r w:rsidR="00C35118">
              <w:rPr>
                <w:sz w:val="20"/>
                <w:szCs w:val="20"/>
              </w:rPr>
              <w:t>75</w:t>
            </w:r>
            <w:r>
              <w:rPr>
                <w:sz w:val="20"/>
                <w:szCs w:val="20"/>
              </w:rPr>
              <w:t>.0%</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7817F13F" w14:textId="77777777" w:rsidR="004676BB" w:rsidRDefault="00000000">
            <w:r>
              <w:rPr>
                <w:sz w:val="20"/>
                <w:szCs w:val="20"/>
              </w:rPr>
              <w:t>50%</w:t>
            </w:r>
          </w:p>
        </w:tc>
      </w:tr>
    </w:tbl>
    <w:p w14:paraId="0A1613CE" w14:textId="77777777" w:rsidR="004676BB" w:rsidRDefault="004676BB">
      <w:pPr>
        <w:spacing w:before="200"/>
      </w:pPr>
    </w:p>
    <w:p w14:paraId="0C026D40" w14:textId="77777777" w:rsidR="004676BB" w:rsidRDefault="00000000">
      <w:pPr>
        <w:spacing w:after="160"/>
      </w:pPr>
      <w:r>
        <w:t>Service Credits are calculated as a percentage of the fees paid by Customer for the affected Service in the calendar month in which the Downtime occurred. Service Credits: (a) are Customer's sole and exclusive remedy for any failure to meet the uptime commitment; (b) may not exceed 50% of the monthly fees for the affected month; (c) will be applied to a future invoice and are not redeemable for cash; and (d) are forfeited if not claimed within the claim window in Section 5.1.</w:t>
      </w:r>
    </w:p>
    <w:p w14:paraId="5425F88E" w14:textId="77777777" w:rsidR="004676BB" w:rsidRDefault="00000000">
      <w:pPr>
        <w:pStyle w:val="Heading2"/>
      </w:pPr>
      <w:r>
        <w:lastRenderedPageBreak/>
        <w:t>5.1 Claim Process</w:t>
      </w:r>
    </w:p>
    <w:p w14:paraId="4FBD444A" w14:textId="77777777" w:rsidR="004676BB" w:rsidRDefault="00000000">
      <w:pPr>
        <w:pStyle w:val="ListParagraph"/>
        <w:numPr>
          <w:ilvl w:val="0"/>
          <w:numId w:val="3"/>
        </w:numPr>
        <w:spacing w:after="80"/>
      </w:pPr>
      <w:r>
        <w:t>Submit a Service Credit claim in writing to support@focalva.com within thirty (30) days of the end of the calendar month in which the alleged failure to meet the uptime commitment occurred.</w:t>
      </w:r>
    </w:p>
    <w:p w14:paraId="2AF1A985" w14:textId="77777777" w:rsidR="004676BB" w:rsidRDefault="00000000">
      <w:pPr>
        <w:pStyle w:val="ListParagraph"/>
        <w:numPr>
          <w:ilvl w:val="0"/>
          <w:numId w:val="3"/>
        </w:numPr>
        <w:spacing w:after="80"/>
      </w:pPr>
      <w:r>
        <w:t>Include: (a) the term “SLA Claim” in the subject line; (b) the dates and times of each Downtime incident being claimed; (c) the impact the Downtime had on Customer's use of the Service; and (d) Customer's account/workspace identifier.</w:t>
      </w:r>
    </w:p>
    <w:p w14:paraId="1401169B" w14:textId="77777777" w:rsidR="004676BB" w:rsidRDefault="00000000">
      <w:pPr>
        <w:pStyle w:val="ListParagraph"/>
        <w:numPr>
          <w:ilvl w:val="0"/>
          <w:numId w:val="3"/>
        </w:numPr>
        <w:spacing w:after="80"/>
      </w:pPr>
      <w:r>
        <w:t>FocalVA will review the claim against its monitoring records and respond within fifteen (15) business days with a determination and, if approved, the Service Credit amount.</w:t>
      </w:r>
    </w:p>
    <w:p w14:paraId="08CCF022" w14:textId="77777777" w:rsidR="004676BB" w:rsidRDefault="00000000">
      <w:pPr>
        <w:pStyle w:val="ListParagraph"/>
        <w:numPr>
          <w:ilvl w:val="0"/>
          <w:numId w:val="3"/>
        </w:numPr>
        <w:spacing w:after="80"/>
      </w:pPr>
      <w:r>
        <w:t>Claims submitted after the 30-day window, or without the information above, will not be honored.</w:t>
      </w:r>
    </w:p>
    <w:p w14:paraId="39250831" w14:textId="77777777" w:rsidR="004676BB" w:rsidRDefault="00000000">
      <w:pPr>
        <w:pStyle w:val="Heading1"/>
      </w:pPr>
      <w:r>
        <w:t>6. Exclusions</w:t>
      </w:r>
    </w:p>
    <w:p w14:paraId="5CB81059" w14:textId="77777777" w:rsidR="004676BB" w:rsidRDefault="00000000">
      <w:pPr>
        <w:spacing w:after="160"/>
      </w:pPr>
      <w:r>
        <w:t>The uptime commitment in Section 3 and the Service Credits in Section 5 do not apply to unavailability, degradation, or other failures caused by or associated with:</w:t>
      </w:r>
    </w:p>
    <w:p w14:paraId="1C580A4A" w14:textId="77777777" w:rsidR="004676BB" w:rsidRDefault="00000000">
      <w:pPr>
        <w:pStyle w:val="ListParagraph"/>
        <w:numPr>
          <w:ilvl w:val="0"/>
          <w:numId w:val="2"/>
        </w:numPr>
        <w:spacing w:after="80"/>
      </w:pPr>
      <w:r>
        <w:t>Scheduled maintenance, provided FocalVA gives at least 48 hours' advance notice via email or in-app notification (“Scheduled Maintenance”); Scheduled Maintenance windows are excluded from Downtime calculations.</w:t>
      </w:r>
    </w:p>
    <w:p w14:paraId="788F7832" w14:textId="77777777" w:rsidR="004676BB" w:rsidRDefault="00000000">
      <w:pPr>
        <w:pStyle w:val="ListParagraph"/>
        <w:numPr>
          <w:ilvl w:val="0"/>
          <w:numId w:val="2"/>
        </w:numPr>
        <w:spacing w:after="80"/>
      </w:pPr>
      <w:r>
        <w:t>Emergency maintenance reasonably necessary to address a security vulnerability or imminent risk to the Service, with notice provided as soon as reasonably practicable.</w:t>
      </w:r>
    </w:p>
    <w:p w14:paraId="330302A9" w14:textId="77777777" w:rsidR="004676BB" w:rsidRDefault="00000000">
      <w:pPr>
        <w:pStyle w:val="ListParagraph"/>
        <w:numPr>
          <w:ilvl w:val="0"/>
          <w:numId w:val="2"/>
        </w:numPr>
        <w:spacing w:after="80"/>
      </w:pPr>
      <w:r>
        <w:t>Factors outside FocalVA's reasonable control, including but not limited to internet, hosting, or DNS availability issues outside FocalVA's direct infrastructure, denial-of-service attacks, or force majeure events.</w:t>
      </w:r>
    </w:p>
    <w:p w14:paraId="1589E7D6" w14:textId="77777777" w:rsidR="004676BB" w:rsidRDefault="00000000">
      <w:pPr>
        <w:pStyle w:val="ListParagraph"/>
        <w:numPr>
          <w:ilvl w:val="0"/>
          <w:numId w:val="2"/>
        </w:numPr>
        <w:spacing w:after="80"/>
      </w:pPr>
      <w:r>
        <w:t>Third-party services, integrations, or dependencies not operated by FocalVA, including but not limited to Google Calendar, Twilio, Slack, Google Workspace, payment processors, and QTvoice or other add-on integrations.</w:t>
      </w:r>
    </w:p>
    <w:p w14:paraId="668FB96F" w14:textId="77777777" w:rsidR="004676BB" w:rsidRDefault="00000000">
      <w:pPr>
        <w:pStyle w:val="ListParagraph"/>
        <w:numPr>
          <w:ilvl w:val="0"/>
          <w:numId w:val="2"/>
        </w:numPr>
        <w:spacing w:after="80"/>
      </w:pPr>
      <w:r>
        <w:t>Customer's equipment, software, network connectivity, or internet access, or that of Customer's end users.</w:t>
      </w:r>
    </w:p>
    <w:p w14:paraId="32C9B61C" w14:textId="77777777" w:rsidR="004676BB" w:rsidRDefault="00000000">
      <w:pPr>
        <w:pStyle w:val="ListParagraph"/>
        <w:numPr>
          <w:ilvl w:val="0"/>
          <w:numId w:val="2"/>
        </w:numPr>
        <w:spacing w:after="80"/>
      </w:pPr>
      <w:r>
        <w:t>Customer's breach of the Terms of Service, misuse of the Service, or use of the Service in a manner inconsistent with FocalVA's documentation.</w:t>
      </w:r>
    </w:p>
    <w:p w14:paraId="7F5C2164" w14:textId="77777777" w:rsidR="004676BB" w:rsidRDefault="00000000">
      <w:pPr>
        <w:pStyle w:val="ListParagraph"/>
        <w:numPr>
          <w:ilvl w:val="0"/>
          <w:numId w:val="2"/>
        </w:numPr>
        <w:spacing w:after="80"/>
      </w:pPr>
      <w:r>
        <w:t>Suspension or termination of Customer's right to use the Service in accordance with the Terms of Service (e.g., for non-payment).</w:t>
      </w:r>
    </w:p>
    <w:p w14:paraId="0C79F5A3" w14:textId="77777777" w:rsidR="004676BB" w:rsidRDefault="00000000">
      <w:pPr>
        <w:pStyle w:val="ListParagraph"/>
        <w:numPr>
          <w:ilvl w:val="0"/>
          <w:numId w:val="2"/>
        </w:numPr>
        <w:spacing w:after="80"/>
      </w:pPr>
      <w:r>
        <w:t>Beta, preview, trial, or free-tier use of the Service.</w:t>
      </w:r>
    </w:p>
    <w:p w14:paraId="3DD12EE1" w14:textId="77777777" w:rsidR="004676BB" w:rsidRDefault="00000000">
      <w:pPr>
        <w:pStyle w:val="Heading1"/>
      </w:pPr>
      <w:r>
        <w:t>7. Enterprise Additional Commitments</w:t>
      </w:r>
    </w:p>
    <w:p w14:paraId="1D003E37" w14:textId="77777777" w:rsidR="004676BB" w:rsidRDefault="00000000">
      <w:pPr>
        <w:pStyle w:val="ListParagraph"/>
        <w:numPr>
          <w:ilvl w:val="0"/>
          <w:numId w:val="2"/>
        </w:numPr>
        <w:spacing w:after="80"/>
      </w:pPr>
      <w:r>
        <w:t>Dedicated account manager for escalation management.</w:t>
      </w:r>
    </w:p>
    <w:p w14:paraId="2D5F7A9B" w14:textId="77777777" w:rsidR="004676BB" w:rsidRDefault="00000000">
      <w:pPr>
        <w:pStyle w:val="ListParagraph"/>
        <w:numPr>
          <w:ilvl w:val="0"/>
          <w:numId w:val="2"/>
        </w:numPr>
        <w:spacing w:after="80"/>
      </w:pPr>
      <w:r>
        <w:t>24/7 support availability for Critical and High severity incidents.</w:t>
      </w:r>
    </w:p>
    <w:p w14:paraId="42EF4FBF" w14:textId="77777777" w:rsidR="004676BB" w:rsidRDefault="00000000">
      <w:pPr>
        <w:pStyle w:val="ListParagraph"/>
        <w:numPr>
          <w:ilvl w:val="0"/>
          <w:numId w:val="2"/>
        </w:numPr>
        <w:spacing w:after="80"/>
      </w:pPr>
      <w:r>
        <w:t>Role-based access control (RBAC) and single sign-on (SSO) support.</w:t>
      </w:r>
    </w:p>
    <w:p w14:paraId="71D31824" w14:textId="77777777" w:rsidR="004676BB" w:rsidRDefault="00000000">
      <w:pPr>
        <w:pStyle w:val="ListParagraph"/>
        <w:numPr>
          <w:ilvl w:val="0"/>
          <w:numId w:val="2"/>
        </w:numPr>
        <w:spacing w:after="80"/>
      </w:pPr>
      <w:r>
        <w:t>Advance notice of Scheduled Maintenance via the account's designated technical contact, in addition to standard in-app notice.</w:t>
      </w:r>
    </w:p>
    <w:p w14:paraId="4A522167" w14:textId="77777777" w:rsidR="004676BB" w:rsidRDefault="00000000">
      <w:pPr>
        <w:pStyle w:val="Heading1"/>
      </w:pPr>
      <w:r>
        <w:lastRenderedPageBreak/>
        <w:t>8. Changes to This SLA</w:t>
      </w:r>
    </w:p>
    <w:p w14:paraId="4BD83DDD" w14:textId="77777777" w:rsidR="004676BB" w:rsidRDefault="00000000">
      <w:pPr>
        <w:spacing w:after="160"/>
      </w:pPr>
      <w:r>
        <w:t>FocalVA may update this SLA from time to time. For existing Enterprise customers under an active order form referencing this SLA, material reductions to the uptime commitment or Service Credit remedies will not take effect until the customer's next renewal term, unless otherwise agreed in writing. FocalVA will provide at least 30 days' notice of material changes via email to the account's billing or technical contact.</w:t>
      </w:r>
    </w:p>
    <w:p w14:paraId="41CA3222" w14:textId="77777777" w:rsidR="004676BB" w:rsidRDefault="00000000">
      <w:pPr>
        <w:pStyle w:val="Heading1"/>
      </w:pPr>
      <w:r>
        <w:t>9. Contact</w:t>
      </w:r>
    </w:p>
    <w:p w14:paraId="04F21CF2" w14:textId="77777777" w:rsidR="004676BB" w:rsidRDefault="00000000">
      <w:pPr>
        <w:spacing w:after="160"/>
      </w:pPr>
      <w:r>
        <w:rPr>
          <w:b/>
          <w:bCs/>
        </w:rPr>
        <w:t>Quadjam Enterprises Inc.</w:t>
      </w:r>
    </w:p>
    <w:p w14:paraId="574D142E" w14:textId="77777777" w:rsidR="004676BB" w:rsidRDefault="00000000">
      <w:pPr>
        <w:spacing w:after="160"/>
      </w:pPr>
      <w:r>
        <w:t>Notice Address: 200 Barr Harbor Drive, Suite 400 West, Conshohocken, PA 19428</w:t>
      </w:r>
    </w:p>
    <w:p w14:paraId="430BFF41" w14:textId="77777777" w:rsidR="004676BB" w:rsidRDefault="00000000">
      <w:pPr>
        <w:spacing w:after="160"/>
      </w:pPr>
      <w:r>
        <w:t>Support: support@focalva.com  •  Phone: 1-862-FOCAL-VA</w:t>
      </w:r>
    </w:p>
    <w:p w14:paraId="3E4C3296" w14:textId="77777777" w:rsidR="004676BB" w:rsidRDefault="00000000">
      <w:pPr>
        <w:spacing w:after="160"/>
      </w:pPr>
      <w:r>
        <w:t>SLA Claims: support@focalva.com (subject line: “SLA Claim”)</w:t>
      </w:r>
    </w:p>
    <w:sectPr w:rsidR="004676BB">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1897A" w14:textId="77777777" w:rsidR="00F46527" w:rsidRDefault="00F46527">
      <w:r>
        <w:separator/>
      </w:r>
    </w:p>
  </w:endnote>
  <w:endnote w:type="continuationSeparator" w:id="0">
    <w:p w14:paraId="3E48DA53" w14:textId="77777777" w:rsidR="00F46527" w:rsidRDefault="00F46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2762F" w14:textId="77777777" w:rsidR="004676BB" w:rsidRDefault="00000000">
    <w:pPr>
      <w:tabs>
        <w:tab w:val="right" w:pos="9026"/>
      </w:tabs>
    </w:pPr>
    <w:r>
      <w:rPr>
        <w:color w:val="888888"/>
        <w:sz w:val="16"/>
        <w:szCs w:val="16"/>
      </w:rPr>
      <w:t xml:space="preserve">© Quadjam Enterprises Inc. — ConfidentialPage </w:t>
    </w:r>
    <w:r>
      <w:rPr>
        <w:color w:val="888888"/>
        <w:sz w:val="16"/>
        <w:szCs w:val="16"/>
      </w:rPr>
      <w:fldChar w:fldCharType="begin"/>
    </w:r>
    <w:r>
      <w:rPr>
        <w:color w:val="888888"/>
        <w:sz w:val="16"/>
        <w:szCs w:val="16"/>
      </w:rPr>
      <w:instrText>PAGE</w:instrText>
    </w:r>
    <w:r>
      <w:rPr>
        <w:color w:val="888888"/>
        <w:sz w:val="16"/>
        <w:szCs w:val="16"/>
      </w:rPr>
      <w:fldChar w:fldCharType="separate"/>
    </w:r>
    <w:r w:rsidR="00D15774">
      <w:rPr>
        <w:noProof/>
        <w:color w:val="888888"/>
        <w:sz w:val="16"/>
        <w:szCs w:val="16"/>
      </w:rPr>
      <w:t>1</w:t>
    </w:r>
    <w:r>
      <w:rPr>
        <w:color w:val="888888"/>
        <w:sz w:val="16"/>
        <w:szCs w:val="16"/>
      </w:rPr>
      <w:fldChar w:fldCharType="end"/>
    </w:r>
    <w:r>
      <w:rPr>
        <w:color w:val="888888"/>
        <w:sz w:val="16"/>
        <w:szCs w:val="16"/>
      </w:rPr>
      <w:t xml:space="preserve"> of </w:t>
    </w:r>
    <w:r>
      <w:rPr>
        <w:color w:val="888888"/>
        <w:sz w:val="16"/>
        <w:szCs w:val="16"/>
      </w:rPr>
      <w:fldChar w:fldCharType="begin"/>
    </w:r>
    <w:r>
      <w:rPr>
        <w:color w:val="888888"/>
        <w:sz w:val="16"/>
        <w:szCs w:val="16"/>
      </w:rPr>
      <w:instrText>NUMPAGES</w:instrText>
    </w:r>
    <w:r>
      <w:rPr>
        <w:color w:val="888888"/>
        <w:sz w:val="16"/>
        <w:szCs w:val="16"/>
      </w:rPr>
      <w:fldChar w:fldCharType="separate"/>
    </w:r>
    <w:r w:rsidR="00D15774">
      <w:rPr>
        <w:noProof/>
        <w:color w:val="888888"/>
        <w:sz w:val="16"/>
        <w:szCs w:val="16"/>
      </w:rPr>
      <w:t>2</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046CE" w14:textId="77777777" w:rsidR="00F46527" w:rsidRDefault="00F46527">
      <w:r>
        <w:separator/>
      </w:r>
    </w:p>
  </w:footnote>
  <w:footnote w:type="continuationSeparator" w:id="0">
    <w:p w14:paraId="58B2F53D" w14:textId="77777777" w:rsidR="00F46527" w:rsidRDefault="00F46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C1972" w14:textId="77777777" w:rsidR="004676BB" w:rsidRDefault="00000000">
    <w:pPr>
      <w:pBdr>
        <w:bottom w:val="single" w:sz="4" w:space="4" w:color="CCCCCC"/>
      </w:pBdr>
      <w:tabs>
        <w:tab w:val="right" w:pos="9026"/>
      </w:tabs>
    </w:pPr>
    <w:r>
      <w:rPr>
        <w:b/>
        <w:bCs/>
        <w:color w:val="0F2A44"/>
        <w:sz w:val="20"/>
        <w:szCs w:val="20"/>
      </w:rPr>
      <w:t>FocalVA</w:t>
    </w:r>
    <w:r>
      <w:rPr>
        <w:color w:val="666666"/>
        <w:sz w:val="18"/>
        <w:szCs w:val="18"/>
      </w:rPr>
      <w:tab/>
      <w:t>Service Level Agreement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1570A"/>
    <w:multiLevelType w:val="hybridMultilevel"/>
    <w:tmpl w:val="ABB00DAC"/>
    <w:lvl w:ilvl="0" w:tplc="E57EB1D6">
      <w:start w:val="1"/>
      <w:numFmt w:val="decimal"/>
      <w:lvlText w:val="%1."/>
      <w:lvlJc w:val="left"/>
      <w:pPr>
        <w:ind w:left="720" w:hanging="360"/>
      </w:pPr>
    </w:lvl>
    <w:lvl w:ilvl="1" w:tplc="FA5C4AEA">
      <w:numFmt w:val="decimal"/>
      <w:lvlText w:val=""/>
      <w:lvlJc w:val="left"/>
    </w:lvl>
    <w:lvl w:ilvl="2" w:tplc="6666CDEE">
      <w:numFmt w:val="decimal"/>
      <w:lvlText w:val=""/>
      <w:lvlJc w:val="left"/>
    </w:lvl>
    <w:lvl w:ilvl="3" w:tplc="DDB27B6A">
      <w:numFmt w:val="decimal"/>
      <w:lvlText w:val=""/>
      <w:lvlJc w:val="left"/>
    </w:lvl>
    <w:lvl w:ilvl="4" w:tplc="05EEB672">
      <w:numFmt w:val="decimal"/>
      <w:lvlText w:val=""/>
      <w:lvlJc w:val="left"/>
    </w:lvl>
    <w:lvl w:ilvl="5" w:tplc="A228459A">
      <w:numFmt w:val="decimal"/>
      <w:lvlText w:val=""/>
      <w:lvlJc w:val="left"/>
    </w:lvl>
    <w:lvl w:ilvl="6" w:tplc="BAF24D6A">
      <w:numFmt w:val="decimal"/>
      <w:lvlText w:val=""/>
      <w:lvlJc w:val="left"/>
    </w:lvl>
    <w:lvl w:ilvl="7" w:tplc="4554FBBA">
      <w:numFmt w:val="decimal"/>
      <w:lvlText w:val=""/>
      <w:lvlJc w:val="left"/>
    </w:lvl>
    <w:lvl w:ilvl="8" w:tplc="C8BA3CBA">
      <w:numFmt w:val="decimal"/>
      <w:lvlText w:val=""/>
      <w:lvlJc w:val="left"/>
    </w:lvl>
  </w:abstractNum>
  <w:abstractNum w:abstractNumId="1" w15:restartNumberingAfterBreak="0">
    <w:nsid w:val="244C40A2"/>
    <w:multiLevelType w:val="hybridMultilevel"/>
    <w:tmpl w:val="936E88E4"/>
    <w:lvl w:ilvl="0" w:tplc="02B29FF0">
      <w:start w:val="1"/>
      <w:numFmt w:val="bullet"/>
      <w:lvlText w:val="●"/>
      <w:lvlJc w:val="left"/>
      <w:pPr>
        <w:ind w:left="720" w:hanging="360"/>
      </w:pPr>
    </w:lvl>
    <w:lvl w:ilvl="1" w:tplc="52A4E204">
      <w:start w:val="1"/>
      <w:numFmt w:val="bullet"/>
      <w:lvlText w:val="○"/>
      <w:lvlJc w:val="left"/>
      <w:pPr>
        <w:ind w:left="1440" w:hanging="360"/>
      </w:pPr>
    </w:lvl>
    <w:lvl w:ilvl="2" w:tplc="76BC840C">
      <w:start w:val="1"/>
      <w:numFmt w:val="bullet"/>
      <w:lvlText w:val="■"/>
      <w:lvlJc w:val="left"/>
      <w:pPr>
        <w:ind w:left="2160" w:hanging="360"/>
      </w:pPr>
    </w:lvl>
    <w:lvl w:ilvl="3" w:tplc="56C2B102">
      <w:start w:val="1"/>
      <w:numFmt w:val="bullet"/>
      <w:lvlText w:val="●"/>
      <w:lvlJc w:val="left"/>
      <w:pPr>
        <w:ind w:left="2880" w:hanging="360"/>
      </w:pPr>
    </w:lvl>
    <w:lvl w:ilvl="4" w:tplc="2934308A">
      <w:start w:val="1"/>
      <w:numFmt w:val="bullet"/>
      <w:lvlText w:val="○"/>
      <w:lvlJc w:val="left"/>
      <w:pPr>
        <w:ind w:left="3600" w:hanging="360"/>
      </w:pPr>
    </w:lvl>
    <w:lvl w:ilvl="5" w:tplc="74CA0D6E">
      <w:start w:val="1"/>
      <w:numFmt w:val="bullet"/>
      <w:lvlText w:val="■"/>
      <w:lvlJc w:val="left"/>
      <w:pPr>
        <w:ind w:left="4320" w:hanging="360"/>
      </w:pPr>
    </w:lvl>
    <w:lvl w:ilvl="6" w:tplc="94A40066">
      <w:start w:val="1"/>
      <w:numFmt w:val="bullet"/>
      <w:lvlText w:val="●"/>
      <w:lvlJc w:val="left"/>
      <w:pPr>
        <w:ind w:left="5040" w:hanging="360"/>
      </w:pPr>
    </w:lvl>
    <w:lvl w:ilvl="7" w:tplc="B1CA3860">
      <w:start w:val="1"/>
      <w:numFmt w:val="bullet"/>
      <w:lvlText w:val="●"/>
      <w:lvlJc w:val="left"/>
      <w:pPr>
        <w:ind w:left="5760" w:hanging="360"/>
      </w:pPr>
    </w:lvl>
    <w:lvl w:ilvl="8" w:tplc="4128F11C">
      <w:start w:val="1"/>
      <w:numFmt w:val="bullet"/>
      <w:lvlText w:val="●"/>
      <w:lvlJc w:val="left"/>
      <w:pPr>
        <w:ind w:left="6480" w:hanging="360"/>
      </w:pPr>
    </w:lvl>
  </w:abstractNum>
  <w:abstractNum w:abstractNumId="2" w15:restartNumberingAfterBreak="0">
    <w:nsid w:val="5ADA1564"/>
    <w:multiLevelType w:val="hybridMultilevel"/>
    <w:tmpl w:val="89389230"/>
    <w:lvl w:ilvl="0" w:tplc="D1D0A3A0">
      <w:start w:val="1"/>
      <w:numFmt w:val="bullet"/>
      <w:lvlText w:val="•"/>
      <w:lvlJc w:val="left"/>
      <w:pPr>
        <w:ind w:left="720" w:hanging="360"/>
      </w:pPr>
    </w:lvl>
    <w:lvl w:ilvl="1" w:tplc="AB36EA18">
      <w:numFmt w:val="decimal"/>
      <w:lvlText w:val=""/>
      <w:lvlJc w:val="left"/>
    </w:lvl>
    <w:lvl w:ilvl="2" w:tplc="48345B32">
      <w:numFmt w:val="decimal"/>
      <w:lvlText w:val=""/>
      <w:lvlJc w:val="left"/>
    </w:lvl>
    <w:lvl w:ilvl="3" w:tplc="F704E6D2">
      <w:numFmt w:val="decimal"/>
      <w:lvlText w:val=""/>
      <w:lvlJc w:val="left"/>
    </w:lvl>
    <w:lvl w:ilvl="4" w:tplc="961666F0">
      <w:numFmt w:val="decimal"/>
      <w:lvlText w:val=""/>
      <w:lvlJc w:val="left"/>
    </w:lvl>
    <w:lvl w:ilvl="5" w:tplc="A67C61F4">
      <w:numFmt w:val="decimal"/>
      <w:lvlText w:val=""/>
      <w:lvlJc w:val="left"/>
    </w:lvl>
    <w:lvl w:ilvl="6" w:tplc="4E06B6AA">
      <w:numFmt w:val="decimal"/>
      <w:lvlText w:val=""/>
      <w:lvlJc w:val="left"/>
    </w:lvl>
    <w:lvl w:ilvl="7" w:tplc="3C0621A2">
      <w:numFmt w:val="decimal"/>
      <w:lvlText w:val=""/>
      <w:lvlJc w:val="left"/>
    </w:lvl>
    <w:lvl w:ilvl="8" w:tplc="C1E2A170">
      <w:numFmt w:val="decimal"/>
      <w:lvlText w:val=""/>
      <w:lvlJc w:val="left"/>
    </w:lvl>
  </w:abstractNum>
  <w:num w:numId="1" w16cid:durableId="2095206369">
    <w:abstractNumId w:val="1"/>
    <w:lvlOverride w:ilvl="0">
      <w:startOverride w:val="1"/>
    </w:lvlOverride>
  </w:num>
  <w:num w:numId="2" w16cid:durableId="1487892039">
    <w:abstractNumId w:val="2"/>
    <w:lvlOverride w:ilvl="0">
      <w:startOverride w:val="1"/>
    </w:lvlOverride>
  </w:num>
  <w:num w:numId="3" w16cid:durableId="166122931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6BB"/>
    <w:rsid w:val="004676BB"/>
    <w:rsid w:val="00930B6A"/>
    <w:rsid w:val="00B1785E"/>
    <w:rsid w:val="00B82B46"/>
    <w:rsid w:val="00B93EF2"/>
    <w:rsid w:val="00BC77C6"/>
    <w:rsid w:val="00C35118"/>
    <w:rsid w:val="00CE1C3F"/>
    <w:rsid w:val="00D15774"/>
    <w:rsid w:val="00F46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F0824"/>
  <w15:docId w15:val="{B3777118-9C39-46C6-8BB0-013294DBF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1A1A1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6" w:space="4" w:color="0E8C8C"/>
      </w:pBdr>
      <w:spacing w:before="360" w:after="200"/>
      <w:outlineLvl w:val="0"/>
    </w:pPr>
    <w:rPr>
      <w:b/>
      <w:bCs/>
      <w:color w:val="0F2A44"/>
      <w:sz w:val="30"/>
      <w:szCs w:val="30"/>
    </w:rPr>
  </w:style>
  <w:style w:type="paragraph" w:styleId="Heading2">
    <w:name w:val="heading 2"/>
    <w:uiPriority w:val="9"/>
    <w:unhideWhenUsed/>
    <w:qFormat/>
    <w:pPr>
      <w:spacing w:before="240" w:after="140"/>
      <w:outlineLvl w:val="1"/>
    </w:pPr>
    <w:rPr>
      <w:b/>
      <w:bCs/>
      <w:color w:val="0F2A44"/>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1104</Words>
  <Characters>6298</Characters>
  <Application>Microsoft Office Word</Application>
  <DocSecurity>0</DocSecurity>
  <Lines>52</Lines>
  <Paragraphs>14</Paragraphs>
  <ScaleCrop>false</ScaleCrop>
  <Company/>
  <LinksUpToDate>false</LinksUpToDate>
  <CharactersWithSpaces>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PipDip</cp:lastModifiedBy>
  <cp:revision>8</cp:revision>
  <dcterms:created xsi:type="dcterms:W3CDTF">2026-08-03T00:41:00Z</dcterms:created>
  <dcterms:modified xsi:type="dcterms:W3CDTF">2026-09-09T22:02:00Z</dcterms:modified>
</cp:coreProperties>
</file>